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0" w:rsidRPr="00F459A0" w:rsidRDefault="00F459A0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9A0" w:rsidRPr="00F459A0" w:rsidRDefault="00F459A0" w:rsidP="00F459A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459A0" w:rsidRPr="00F459A0" w:rsidRDefault="00F459A0" w:rsidP="00F459A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a8d2e90-56c6-4227-b989-cf591d15a380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образования и науки Липецкой области</w:t>
      </w:r>
      <w:bookmarkEnd w:id="0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59A0" w:rsidRPr="00F459A0" w:rsidRDefault="00F459A0" w:rsidP="00F459A0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e2678aaf-ecf3-4703-966c-c57be95f5541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Комитет по образованию администрации </w:t>
      </w:r>
      <w:proofErr w:type="spellStart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Усманского</w:t>
      </w:r>
      <w:proofErr w:type="spellEnd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59A0" w:rsidRPr="00F459A0" w:rsidRDefault="00F459A0" w:rsidP="00F459A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Липецкой области</w:t>
      </w:r>
      <w:bookmarkEnd w:id="1"/>
    </w:p>
    <w:p w:rsidR="00F459A0" w:rsidRPr="00F459A0" w:rsidRDefault="00F459A0" w:rsidP="00F459A0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МБОУ СОШ с</w:t>
      </w:r>
      <w:proofErr w:type="gramStart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торожевое</w:t>
      </w:r>
    </w:p>
    <w:p w:rsidR="00F459A0" w:rsidRPr="00F459A0" w:rsidRDefault="00F459A0" w:rsidP="00F459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59A0" w:rsidRPr="00F459A0" w:rsidTr="00C77794">
        <w:tc>
          <w:tcPr>
            <w:tcW w:w="3114" w:type="dxa"/>
          </w:tcPr>
          <w:p w:rsidR="00F459A0" w:rsidRPr="00F459A0" w:rsidRDefault="00F459A0" w:rsidP="00C777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 августа   2024 г.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459A0" w:rsidRPr="00F459A0" w:rsidRDefault="00F459A0" w:rsidP="00C777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 августа   2024 г.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459A0" w:rsidRPr="00F459A0" w:rsidRDefault="00F459A0" w:rsidP="00C777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Т.С.Коровина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№186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 августа  2024 г.</w:t>
            </w:r>
          </w:p>
          <w:p w:rsidR="00F459A0" w:rsidRPr="00F459A0" w:rsidRDefault="00F459A0" w:rsidP="00C7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F459A0" w:rsidRPr="00F459A0" w:rsidRDefault="00F459A0" w:rsidP="00F45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59A0" w:rsidRPr="00F459A0" w:rsidRDefault="00F459A0" w:rsidP="00F459A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459A0" w:rsidRPr="00F459A0" w:rsidRDefault="00F459A0" w:rsidP="00F459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459A0">
        <w:rPr>
          <w:rFonts w:ascii="Times New Roman" w:hAnsi="Times New Roman" w:cs="Times New Roman"/>
          <w:b/>
          <w:color w:val="000000"/>
          <w:sz w:val="28"/>
          <w:szCs w:val="28"/>
        </w:rPr>
        <w:t>учебного курса «Физическая культура</w:t>
      </w:r>
    </w:p>
    <w:p w:rsidR="00F459A0" w:rsidRPr="00F459A0" w:rsidRDefault="00F459A0" w:rsidP="00F459A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459A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F459A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459A0">
        <w:rPr>
          <w:rFonts w:ascii="Times New Roman" w:hAnsi="Times New Roman" w:cs="Times New Roman"/>
          <w:color w:val="000000"/>
          <w:sz w:val="28"/>
          <w:szCs w:val="28"/>
        </w:rPr>
        <w:t xml:space="preserve"> 1 класса</w:t>
      </w:r>
    </w:p>
    <w:p w:rsidR="00F459A0" w:rsidRPr="00F459A0" w:rsidRDefault="00F459A0" w:rsidP="00F459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F459A0" w:rsidP="00F459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59A0" w:rsidRPr="00F459A0" w:rsidRDefault="00806CBF" w:rsidP="00F459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F459A0" w:rsidRPr="00F459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59A0" w:rsidRPr="00F459A0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="00F459A0" w:rsidRPr="00F459A0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F459A0" w:rsidRPr="00F459A0" w:rsidRDefault="00F459A0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9A0" w:rsidRDefault="00F459A0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9A0" w:rsidRDefault="00F459A0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BF" w:rsidRPr="00F459A0" w:rsidRDefault="00806CBF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 ЗАПИСКА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 курса «Физическая культура» для 1 классов «разработана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физического развития детей, формирование личности ребёнка средствами подвижных игр через включение их в совместную деятельность.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двигательную активность младших школьников во внеурочное время;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разнообразием подвижных игр и возможностью использовать их при организации досуга;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выбирать, организовывать и проводить подводящую игру с учётом особенностей участников, условий и обстоятельств;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проявления чувства коллективизма.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Воспитательный потенциал </w:t>
      </w:r>
      <w:r w:rsid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реализуется </w:t>
      </w:r>
      <w:proofErr w:type="gramStart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 кружках, секциях, клубах, студиях и т.п.,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  <w:proofErr w:type="gramEnd"/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детских объединениях традиций, задающих их членам определённые социально значимые формы поведения;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предназначена для реализации в 1 классе начальной школы и рассчитана на 33 часа в 1 классе.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может варьировать, чередовать последовательность проведения занятий по своему усмотрению.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повышения мотивации изучения курса и с учётом возрастных особенностей младших школьников, для занятий используются подвижные игры, наиболее распространённые в детской среде, а также предусмотрен блок народных игр.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Правила безопасности и профилактика травматизма (1 час). 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 по технике безопасности на занятиях внеурочной деятельностью. Значение подвижных игр для здорового образа жизни.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бегом (</w:t>
      </w:r>
      <w:proofErr w:type="spellStart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игры, спортивные часы) (4часа).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упражнений ОРУ на месте. Игры «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Фогуры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 Волки, зайцы, лисы», «Медведь и пчёлы», «Третий лишний». Комплекс упражнений ОРУ в движении. Игры « У медведя </w:t>
      </w:r>
      <w:proofErr w:type="gram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«Весёлые ракеты», «Краски», «Белые медведи». Комплекс упражнений с предметами. Игры «Салки», «Шишки, жёлуди, орехи», «Удержи обруч», «Пустое место». Комплекс упражнений в круге. Игры «Отгадай, чей голос?», «Караси и Щуки», « Гуси-лебеди».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 (5часов).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История возникновения игр с мячом. Совершенствование координации движений. Перекаты мяча. Комплекс ОРУ с мячом «Мячик». Игра «Мяч по полу», «Гусеница», «Перестрелка». Развитие глазомера и чувства расстояния. Передача мяча. Метание мяча «Кто меткий?» Игра «Метко в цель». Игра «Бегуны и метатели», «Перестрелка». Укрепление основных мышечных групп; мышц рук и плечевого пояса. Игра «Передача мяча в колоннах». Игра «Гонка мячей», «Перестрелка». Обучение бросанию, метанию и ловле мяча в игре. Броски и ловля мяча. Игра «Мяч соседу». Игра «подвижная цель», «Перестрелка». Укрепление основных мышечных групп; мышц рук и плечевого пояса, работа с набивными мячами. Игра «Охотники и утки», « </w:t>
      </w:r>
      <w:proofErr w:type="spellStart"/>
      <w:proofErr w:type="gram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Передал-садись</w:t>
      </w:r>
      <w:proofErr w:type="spellEnd"/>
      <w:proofErr w:type="gram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«Перестрелка».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прыжками (со скакалкой) (5 часов).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детского травматизма. Знакомство с правилами дыхания во время прыжков. Последовательность обучения прыжкам. Игра «Прыгающие воробышки». Комплекс ОРУ «Скакалочка». Игра «Петушиные бои». Игра «Кенгуру». Комплекс упражнений с длинной скакалкой «Верёвочка». Игра «Удочка». Игра «Лягушка и цапля». Комплекс ОРУ со скакалкой «Лучики». Игра «Выше ножки от земли».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малой подвижности (игры на развитие внимания, для подготовки к строю, </w:t>
      </w:r>
      <w:proofErr w:type="gramStart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формировании</w:t>
      </w:r>
      <w:proofErr w:type="gramEnd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правильной осанки) (3 часа).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Правильная осанка и её значение для здоровья и хорошей учёбы. Комплекс специальных упражнений «Ровная спина». Игра «Красный, зелёный». Игра «Альпинисты». Игра» Кто быстрее встанет в круг». Комплекс упражнений с мешочками. Игра «Разведчики». Игра «Поезд». Игра «построение в шеренгу». 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исправления нарушений осанки и плоскостопия. Игра «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Летает-не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летает».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игры (6 часов).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Народные игр</w:t>
      </w:r>
      <w:proofErr w:type="gram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игровой культуры. Роль и место игры в жизни людей. Разучивание народных игр. Игра «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Калин-бан-ба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игра «Чижик», игра «Золотые ворота», игра «Чехарда».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 (5 часов).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Закаливание и его влияние на организм. Первая помощь при обморожении. Игра «Скатывание шаров», игра «Гонки снежных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комов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Комплекс ОФП. Игра «Гонки санок». Комплекс упражнений на координацию. Игра «Слаломисты». Комплекс ОФП. Игра «Черепахи». Комплекс упражнений на развитие скорости.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 (4часа).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правилами проведения эстафет. Эстафеты на развитие статистического и динамического равновесия. Эстафета с предметами (мячами, обручами, скакалками). Беговые эстафеты.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внеурочной деятельности по спортивно-оздоровительному направлению «Подвижные игры» является формирование следующих умений: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целостный, социально ориентированный взгляд на мир;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успех в учебной деятельности и понимание его причин;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критерия успешности деятельности;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моральных норм помощи тем, кто в ней нуждается, готовности принять на себя ответственность;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мотивации достижения и готовности к преодолению трудностей на основе конструктивных стратегий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умения мобилизовать свои личностные и физические ресурсы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правил здорового и безопасного образа жизни.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 внеурочной деятельности по спортивно-оздоровительному направлению «Подвижные игры» является формирование следующих универсальных учебных действий (УУД):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умения планировать, регулировать, контролировать и оценивать свои действия;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общей цели и пути её достижения;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функций и ролей в совместной деятельности;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конструктивное разрешение конфликтов;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взаимного контроля;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собственного поведения и поведения партнёра и внесение необходимых коррективов;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задачу;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планировать свои действия в соответствии с поставленной задачей и условиями её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раелизации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установленные правила в планировании и контроле способа решения;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адеватно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предложения и оценку учителей, товарищей, родителей и других людей;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необходимые коррективы в действие после его завершения на основе его оценки и учёте характера сделанных ошибок, использовать предложения и оценки для создания нового, более совершенного результата.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информацию, делать выводы;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предлагать свои правила игры на основе знакомых игр;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взаимодействие, ориентация партнёра, сотрудничество и кооперация (в командных видах игры);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использовать коммуникативные средства для решения различных коммуникативных задач;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ориентироваться на позицию партнёра в общении и взаимодействии;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договориваться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приходить к общему решению в совместной деятельности, в том числе в ситуации столкновения интересов;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и следовать им;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курса внеурочной деятельности являются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развитие: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двигательная подготовленность, как важный компонент здоровья учащихся;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способностей;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осовение</w:t>
      </w:r>
      <w:proofErr w:type="spellEnd"/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здорового и безопасного образа жизни;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социальной и трудовой активности;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и проводить со сверстниками подвижные игры;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жизненно важные двигательные навыки и умения различными способами в различных изменяющихся вариативных условиях.</w:t>
      </w: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Default="002C364E" w:rsidP="00806CBF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Pr="00E3465C" w:rsidRDefault="0079412A" w:rsidP="007941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9412A" w:rsidRDefault="0079412A" w:rsidP="0079412A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</w:t>
      </w: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1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2835"/>
        <w:gridCol w:w="821"/>
        <w:gridCol w:w="1051"/>
        <w:gridCol w:w="1134"/>
        <w:gridCol w:w="2482"/>
      </w:tblGrid>
      <w:tr w:rsidR="002C364E" w:rsidRPr="00F459A0" w:rsidTr="00806CBF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gridSpan w:val="3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9741" w:type="dxa"/>
            <w:gridSpan w:val="6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832E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932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A935E0" w:rsidP="00C8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</w:t>
            </w:r>
            <w:r w:rsidR="00727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C364E" w:rsidRPr="0072748E" w:rsidRDefault="00832E02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Введение. Правила безопасности и профилактика травматизма.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9741" w:type="dxa"/>
            <w:gridSpan w:val="6"/>
            <w:tcMar>
              <w:top w:w="50" w:type="dxa"/>
              <w:left w:w="100" w:type="dxa"/>
            </w:tcMar>
            <w:vAlign w:val="center"/>
          </w:tcPr>
          <w:p w:rsidR="002C364E" w:rsidRPr="0072748E" w:rsidRDefault="002C364E" w:rsidP="00832E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A935E0" w:rsidP="00C8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C364E" w:rsidRPr="0072748E" w:rsidRDefault="00832E02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Игры с бегом </w:t>
            </w:r>
            <w:proofErr w:type="gramStart"/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игры, спортивные часы).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A935E0" w:rsidP="00C8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C364E" w:rsidRPr="0072748E" w:rsidRDefault="00832E02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 с мячом.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832E02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C364E"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832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2E02"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9741" w:type="dxa"/>
            <w:gridSpan w:val="6"/>
            <w:tcMar>
              <w:top w:w="50" w:type="dxa"/>
              <w:left w:w="100" w:type="dxa"/>
            </w:tcMar>
            <w:vAlign w:val="center"/>
          </w:tcPr>
          <w:p w:rsidR="002C364E" w:rsidRPr="0072748E" w:rsidRDefault="002C364E" w:rsidP="00A93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4E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A935E0" w:rsidP="00C8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C364E" w:rsidRPr="0072748E" w:rsidRDefault="00A935E0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 с прыжками (со скакалками).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A935E0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C364E"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A935E0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C364E"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C364E" w:rsidRPr="00F459A0" w:rsidRDefault="002C364E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2C364E" w:rsidRPr="00F459A0" w:rsidRDefault="002C364E" w:rsidP="00C8689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0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C8689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</w:t>
            </w:r>
            <w:r w:rsidR="00727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35E0" w:rsidRPr="0072748E" w:rsidRDefault="00A935E0" w:rsidP="00C8689A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 малой подвижности (игры на развитие внимания, для подготовки к строю, для формирования правильной осанки).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C86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20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A935E0" w:rsidRPr="00F459A0" w:rsidRDefault="00A935E0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0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C8689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35E0" w:rsidRPr="0072748E" w:rsidRDefault="00A935E0" w:rsidP="00D4308F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Народные игры.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D43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D43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D43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20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Pr="00F4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ubject/9</w:t>
            </w:r>
          </w:p>
          <w:p w:rsidR="00A935E0" w:rsidRPr="00F459A0" w:rsidRDefault="00A935E0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0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C8689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7.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35E0" w:rsidRPr="0072748E" w:rsidRDefault="00A935E0" w:rsidP="00D4308F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Зимние забавы.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D96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D96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35E0" w:rsidRPr="00F459A0" w:rsidRDefault="00A935E0" w:rsidP="00D96B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20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A935E0" w:rsidRPr="00F459A0" w:rsidRDefault="00A935E0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4EB" w:rsidRPr="00F459A0" w:rsidTr="00806CBF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C86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Раздел8.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074EB" w:rsidRPr="0072748E" w:rsidRDefault="002074EB" w:rsidP="00D4308F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74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E860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E860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E860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20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sz w:val="28"/>
                <w:szCs w:val="28"/>
              </w:rPr>
              <w:t>https://resh.edu.ru/subject/9</w:t>
            </w:r>
          </w:p>
          <w:p w:rsidR="002074EB" w:rsidRPr="00F459A0" w:rsidRDefault="002074EB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4EB" w:rsidRPr="00F459A0" w:rsidTr="00806CBF">
        <w:trPr>
          <w:trHeight w:val="144"/>
          <w:tblCellSpacing w:w="20" w:type="nil"/>
        </w:trPr>
        <w:tc>
          <w:tcPr>
            <w:tcW w:w="9741" w:type="dxa"/>
            <w:gridSpan w:val="6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A935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4EB" w:rsidRPr="00F459A0" w:rsidTr="00806CBF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1736D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173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173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1736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074EB" w:rsidRPr="00F459A0" w:rsidRDefault="002074EB" w:rsidP="00C86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12A" w:rsidRDefault="0079412A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BF" w:rsidRDefault="00806CBF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BF" w:rsidRDefault="00806CBF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BF" w:rsidRDefault="00806CBF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BF" w:rsidRPr="00F459A0" w:rsidRDefault="00806CBF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Default="002074EB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Поурочное </w:t>
      </w:r>
      <w:r w:rsidR="002C364E" w:rsidRPr="00F4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</w:t>
      </w:r>
    </w:p>
    <w:tbl>
      <w:tblPr>
        <w:tblW w:w="97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3"/>
        <w:gridCol w:w="3125"/>
        <w:gridCol w:w="946"/>
        <w:gridCol w:w="1039"/>
        <w:gridCol w:w="991"/>
        <w:gridCol w:w="2875"/>
      </w:tblGrid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технике безопасности на занятиях внеурочной деятельностью. Значение подвижных игр для здорового образа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ОРУ на месте. Игры «Фигуры», «Волки, зайцы, лисы», «Медведь и пчёлы», «Третий лишний».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 упражнений ОРУ в движении. Игры «У медведя </w:t>
            </w:r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«Весёлые ракеты», «Краски», «Белые медведи».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с предметами. Игры «Салки», «Шишки, жёлуди, орехи», «Удержи обруч», «Пустое место».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в круге. Игры «</w:t>
            </w:r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</w:t>
            </w:r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чей голос?», «Караси и щуки», «Гуси-лебеди».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игр с мячом. Совершенствование координации движений.</w:t>
            </w:r>
          </w:p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Перекаты мяча. Комплекс ОРУ с мячом «Мячик». Игра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«Мяч по полу», "Гусеница".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глазомера и чувства расстояния. Передача мяча. Метание мяча «Кто меткий?». Игра «Метко в цель», «Бегуны и метатели».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основных мышечных групп: мышц рук и плечевого пояса. Игра «Передача мяча в колоннах», «Гонка мячей».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бросанию, метанию и ловле мяча в игре. Игра «Мяч соседу», «Подвижная цель».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основных мышечных групп; работа с набивными мячами. Игра «Охотники и утка», «</w:t>
            </w:r>
            <w:proofErr w:type="spellStart"/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Передал-садись</w:t>
            </w:r>
            <w:proofErr w:type="spellEnd"/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детского травматизма. Знакомство с правилами дыхания во время прыжков. </w:t>
            </w: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Последовательность обучения прыжкам. Игра «Прыгающие воробышки».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ОРУ «Скакалочка». Игра «Петушиные бои», «Кенгуру».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с длинной скакалкой «Верёвочка». Игра «Удочка», «Лягушата и цапля».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ОРУ со скакалкой «Лучики». Игра «Выше ножки от земли».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осанка и её значение для здоровья и хорошей учёбы. Комплекс специальных упражнений «Ровная спина». Игра «Красный, зелёный», «Альпинисты», «Кто быстрее встанет в круг».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с мешочками. Игра «Разведчики», «Поезд», «Построение в шеренгу».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исправления нарушений осанки и плоскостопия. Игра «</w:t>
            </w:r>
            <w:proofErr w:type="spell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Летает-не</w:t>
            </w:r>
            <w:proofErr w:type="spell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летает».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Народные </w:t>
            </w:r>
            <w:proofErr w:type="spell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игры-основа</w:t>
            </w:r>
            <w:proofErr w:type="spell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игровой культуры.</w:t>
            </w:r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и место игры в жизни людей. Разучивание народных игр. Игра «</w:t>
            </w:r>
            <w:proofErr w:type="spell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Калин-бан-ба</w:t>
            </w:r>
            <w:proofErr w:type="spell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игр. Игра «</w:t>
            </w:r>
            <w:proofErr w:type="spell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Арам-Шим-Шим</w:t>
            </w:r>
            <w:proofErr w:type="spell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игр. Игра «Чижик».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игр. Игра «Золотые ворота».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игр. Игра «Бубенцы».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игр. Игра «Чехарда».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и его влияние на организм. Первая помощь при обморожении. Игра «Скатывание шаров».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«Гонки </w:t>
            </w:r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снежных</w:t>
            </w:r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комов</w:t>
            </w:r>
            <w:proofErr w:type="spell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Комплекс ОФП.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«Гонки санок». Комплекс упражнений на координацию.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«Слаломисты». </w:t>
            </w: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 ОФП.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«Черепахи». Комплекс упражнений на развитие быстроты.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правилами</w:t>
            </w:r>
            <w:proofErr w:type="gramEnd"/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проведения эстафет. Профилактика детского травматизма.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с предметами (мячами, обручами, скакалками).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развитие статистического и динамического равновесия.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</w:tcPr>
          <w:p w:rsidR="00B4119C" w:rsidRPr="00F459A0" w:rsidRDefault="00B4119C" w:rsidP="00C77794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Беговые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sz w:val="24"/>
                <w:szCs w:val="24"/>
              </w:rPr>
              <w:t>https://resh.edu.ru/subject/9</w:t>
            </w:r>
          </w:p>
          <w:p w:rsidR="00B4119C" w:rsidRPr="00E3465C" w:rsidRDefault="00B4119C" w:rsidP="00C7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9C" w:rsidRPr="00E3465C" w:rsidTr="0079412A">
        <w:trPr>
          <w:gridAfter w:val="1"/>
          <w:wAfter w:w="2875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4119C" w:rsidRPr="00E3465C" w:rsidRDefault="00B4119C" w:rsidP="00C77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19C" w:rsidRPr="00F459A0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9C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9C" w:rsidRPr="00F459A0" w:rsidRDefault="00B4119C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Pr="00F459A0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4E" w:rsidRDefault="002C364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48E" w:rsidRDefault="0072748E" w:rsidP="0072748E">
      <w:pPr>
        <w:pStyle w:val="docdata"/>
        <w:spacing w:before="0" w:beforeAutospacing="0" w:after="0" w:afterAutospacing="0"/>
      </w:pPr>
      <w:bookmarkStart w:id="2" w:name="block-45584366"/>
      <w:r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  <w:bookmarkEnd w:id="2"/>
    </w:p>
    <w:p w:rsidR="0072748E" w:rsidRDefault="0072748E" w:rsidP="0072748E">
      <w:pPr>
        <w:pStyle w:val="a3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72748E" w:rsidRDefault="0072748E" w:rsidP="0072748E">
      <w:pPr>
        <w:pStyle w:val="a3"/>
        <w:spacing w:before="0" w:beforeAutospacing="0" w:after="0" w:afterAutospacing="0" w:line="480" w:lineRule="auto"/>
        <w:ind w:left="120"/>
      </w:pPr>
      <w:r>
        <w:t> </w:t>
      </w:r>
    </w:p>
    <w:p w:rsidR="0072748E" w:rsidRDefault="0072748E" w:rsidP="0072748E">
      <w:pPr>
        <w:pStyle w:val="a3"/>
        <w:spacing w:before="0" w:beforeAutospacing="0" w:after="0" w:afterAutospacing="0" w:line="480" w:lineRule="auto"/>
        <w:ind w:left="120"/>
      </w:pPr>
      <w:r>
        <w:t> </w:t>
      </w:r>
    </w:p>
    <w:p w:rsidR="0072748E" w:rsidRDefault="0072748E" w:rsidP="0072748E">
      <w:pPr>
        <w:pStyle w:val="a3"/>
        <w:spacing w:before="0" w:beforeAutospacing="0" w:after="0" w:afterAutospacing="0"/>
        <w:ind w:left="120"/>
      </w:pPr>
      <w:r>
        <w:t> </w:t>
      </w:r>
    </w:p>
    <w:p w:rsidR="0072748E" w:rsidRDefault="0072748E" w:rsidP="0072748E">
      <w:pPr>
        <w:pStyle w:val="a3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72748E" w:rsidRDefault="0072748E" w:rsidP="0072748E">
      <w:pPr>
        <w:pStyle w:val="a3"/>
        <w:spacing w:before="0" w:beforeAutospacing="0" w:after="0" w:afterAutospacing="0" w:line="480" w:lineRule="auto"/>
        <w:ind w:left="120"/>
      </w:pPr>
      <w:r>
        <w:t> </w:t>
      </w:r>
    </w:p>
    <w:p w:rsidR="0072748E" w:rsidRDefault="0072748E" w:rsidP="0072748E">
      <w:pPr>
        <w:pStyle w:val="a3"/>
        <w:spacing w:before="0" w:beforeAutospacing="0" w:after="0" w:afterAutospacing="0"/>
        <w:ind w:left="120"/>
      </w:pPr>
      <w:r>
        <w:t> </w:t>
      </w:r>
    </w:p>
    <w:p w:rsidR="0072748E" w:rsidRDefault="0072748E" w:rsidP="0072748E">
      <w:pPr>
        <w:pStyle w:val="a3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2748E" w:rsidRPr="00F459A0" w:rsidRDefault="0072748E" w:rsidP="002C364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2748E" w:rsidRPr="00F459A0" w:rsidSect="00806CB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64E"/>
    <w:rsid w:val="002074EB"/>
    <w:rsid w:val="002C364E"/>
    <w:rsid w:val="0072748E"/>
    <w:rsid w:val="0079412A"/>
    <w:rsid w:val="00806CBF"/>
    <w:rsid w:val="00832E02"/>
    <w:rsid w:val="00A935E0"/>
    <w:rsid w:val="00B4119C"/>
    <w:rsid w:val="00BF7FA1"/>
    <w:rsid w:val="00E42319"/>
    <w:rsid w:val="00F459A0"/>
    <w:rsid w:val="00F6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620,bqiaagaaeyqcaaagiaiaaaojcqaabbejaaaaaaaaaaaaaaaaaaaaaaaaaaaaaaaaaaaaaaaaaaaaaaaaaaaaaaaaaaaaaaaaaaaaaaaaaaaaaaaaaaaaaaaaaaaaaaaaaaaaaaaaaaaaaaaaaaaaaaaaaaaaaaaaaaaaaaaaaaaaaaaaaaaaaaaaaaaaaaaaaaaaaaaaaaaaaaaaaaaaaaaaaaaaaaaaaaaaaaaa"/>
    <w:basedOn w:val="a"/>
    <w:rsid w:val="0072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2024-11-03T08:31:00Z</dcterms:created>
  <dcterms:modified xsi:type="dcterms:W3CDTF">2024-11-03T09:22:00Z</dcterms:modified>
</cp:coreProperties>
</file>